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CFA" w:rsidRPr="00CE7B80" w:rsidRDefault="00690448" w:rsidP="006904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E7B80">
        <w:rPr>
          <w:rFonts w:ascii="Times New Roman" w:hAnsi="Times New Roman" w:cs="Times New Roman"/>
          <w:b/>
          <w:bCs/>
          <w:sz w:val="24"/>
          <w:szCs w:val="24"/>
        </w:rPr>
        <w:t>Oświadczenie przedsiębiorcy ubiegającego się  o wydanie zezwolenia na sprzedaż napojów alkoholowych na terenie Gminy Liszki</w:t>
      </w:r>
    </w:p>
    <w:p w:rsidR="00690448" w:rsidRDefault="00690448" w:rsidP="0069044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0448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zapoznałem się z przepisem art. 18 ust. 3a i 3b ustawy o wychowaniu w trzeźwości i przeciwdziałaniu alkoholizmowi z dnia 26.10.1982r. (Tj. Dz. U z 2019 roku, poz. 2277 ze zm.) mówiącym, że: </w:t>
      </w:r>
    </w:p>
    <w:p w:rsidR="00690448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 w:rsidRPr="006904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„z</w:t>
      </w:r>
      <w:r w:rsidRPr="00690448">
        <w:rPr>
          <w:rFonts w:ascii="Times New Roman" w:hAnsi="Times New Roman" w:cs="Times New Roman"/>
          <w:sz w:val="24"/>
          <w:szCs w:val="24"/>
        </w:rPr>
        <w:t>ezwolenia, o których mowa w ust. 3</w:t>
      </w:r>
      <w:r w:rsidR="00CE7B80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690448">
        <w:rPr>
          <w:rFonts w:ascii="Times New Roman" w:hAnsi="Times New Roman" w:cs="Times New Roman"/>
          <w:sz w:val="24"/>
          <w:szCs w:val="24"/>
        </w:rPr>
        <w:t>, organ zezwalający wydaje po uzyskaniu pozytywnej opinii gminnej komisji rozwiązywania problemów alkoholowych o zgodności lokalizacji punktu sprzedaży z uchwałami rady gminy</w:t>
      </w:r>
      <w:r w:rsidR="003E58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690448">
        <w:rPr>
          <w:rFonts w:ascii="Times New Roman" w:hAnsi="Times New Roman" w:cs="Times New Roman"/>
          <w:sz w:val="24"/>
          <w:szCs w:val="24"/>
        </w:rPr>
        <w:t>, o których mowa w art. 12 ust. 1–3</w:t>
      </w:r>
      <w:r>
        <w:rPr>
          <w:rFonts w:ascii="Times New Roman" w:hAnsi="Times New Roman" w:cs="Times New Roman"/>
          <w:sz w:val="24"/>
          <w:szCs w:val="24"/>
        </w:rPr>
        <w:t xml:space="preserve">”, oraz </w:t>
      </w:r>
    </w:p>
    <w:p w:rsidR="00690448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</w:t>
      </w:r>
      <w:r w:rsidRPr="00690448">
        <w:rPr>
          <w:rFonts w:ascii="Times New Roman" w:hAnsi="Times New Roman" w:cs="Times New Roman"/>
          <w:sz w:val="24"/>
          <w:szCs w:val="24"/>
        </w:rPr>
        <w:t xml:space="preserve"> przypadku gdy liczba wniosków o wydanie zezwolenia przewyższa ich maksymalną liczbę, o której mowa w art. 12 ust. 1, zezwolenie w pierwszej kolejności wydaje się uwzględniając kryterium jak największej odległości punktu, w którym ma być prowadzona sprzedaż napojów alkoholowych od najbliższego działającego punktu sprzedaży napojów alkoholowych, liczonej najkrótszą drogą dojścia ciągiem dróg publicznych, a w następnej kolejności – kryterium prowadzenia przez wnioskodawcę jak najmniejszej liczby punktów sprzedaży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690448">
        <w:rPr>
          <w:rFonts w:ascii="Times New Roman" w:hAnsi="Times New Roman" w:cs="Times New Roman"/>
          <w:sz w:val="24"/>
          <w:szCs w:val="24"/>
        </w:rPr>
        <w:t>.</w:t>
      </w:r>
    </w:p>
    <w:p w:rsidR="003E5824" w:rsidRDefault="00690448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powyższym jestem świadomy/-ma, że po złożeniu kompletu wniosków o wydanie zezwolenia, a przed posiedzeniem plenarnym Gminnej Komisji Rozwiązywania Problemów Alkoholowych w Liszkach zostanie przeprowadzona wizja lokalna punktu sprzedaży </w:t>
      </w:r>
      <w:r w:rsidR="00CE7B80">
        <w:rPr>
          <w:rFonts w:ascii="Times New Roman" w:hAnsi="Times New Roman" w:cs="Times New Roman"/>
          <w:sz w:val="24"/>
          <w:szCs w:val="24"/>
        </w:rPr>
        <w:t xml:space="preserve">i </w:t>
      </w:r>
      <w:r w:rsidR="003E5824">
        <w:rPr>
          <w:rFonts w:ascii="Times New Roman" w:hAnsi="Times New Roman" w:cs="Times New Roman"/>
          <w:sz w:val="24"/>
          <w:szCs w:val="24"/>
        </w:rPr>
        <w:t xml:space="preserve">zostanie </w:t>
      </w:r>
      <w:r w:rsidR="00CE7B80">
        <w:rPr>
          <w:rFonts w:ascii="Times New Roman" w:hAnsi="Times New Roman" w:cs="Times New Roman"/>
          <w:sz w:val="24"/>
          <w:szCs w:val="24"/>
        </w:rPr>
        <w:t xml:space="preserve">sporządzony protokół z czynności </w:t>
      </w:r>
      <w:r>
        <w:rPr>
          <w:rFonts w:ascii="Times New Roman" w:hAnsi="Times New Roman" w:cs="Times New Roman"/>
          <w:sz w:val="24"/>
          <w:szCs w:val="24"/>
        </w:rPr>
        <w:t xml:space="preserve">w celu </w:t>
      </w:r>
      <w:r w:rsidR="00CE7B80">
        <w:rPr>
          <w:rFonts w:ascii="Times New Roman" w:hAnsi="Times New Roman" w:cs="Times New Roman"/>
          <w:sz w:val="24"/>
          <w:szCs w:val="24"/>
        </w:rPr>
        <w:t>wydania opinii przez</w:t>
      </w:r>
      <w:r>
        <w:rPr>
          <w:rFonts w:ascii="Times New Roman" w:hAnsi="Times New Roman" w:cs="Times New Roman"/>
          <w:sz w:val="24"/>
          <w:szCs w:val="24"/>
        </w:rPr>
        <w:t xml:space="preserve"> GKRPA</w:t>
      </w:r>
      <w:r w:rsidR="00CE7B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90448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Wizja,  o której mowa wyżej odbędzie się nie wcześniej niż 3 dni przed zebraniem plenarnym Komisji.</w:t>
      </w:r>
      <w:r w:rsidR="003E582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</w:p>
    <w:p w:rsidR="00CE7B80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80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7B80" w:rsidRDefault="00CE7B80" w:rsidP="0069044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Liszki, 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</w:t>
      </w:r>
    </w:p>
    <w:p w:rsidR="00CE7B80" w:rsidRPr="00CE7B80" w:rsidRDefault="003E5824" w:rsidP="00CE7B80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E7B80">
        <w:rPr>
          <w:rFonts w:ascii="Times New Roman" w:hAnsi="Times New Roman" w:cs="Times New Roman"/>
          <w:sz w:val="24"/>
          <w:szCs w:val="24"/>
        </w:rPr>
        <w:t>(podpis wnioskodawcy)</w:t>
      </w:r>
    </w:p>
    <w:sectPr w:rsidR="00CE7B80" w:rsidRPr="00CE7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AD" w:rsidRDefault="00F52AAD" w:rsidP="00CE7B80">
      <w:pPr>
        <w:spacing w:after="0" w:line="240" w:lineRule="auto"/>
      </w:pPr>
      <w:r>
        <w:separator/>
      </w:r>
    </w:p>
  </w:endnote>
  <w:endnote w:type="continuationSeparator" w:id="0">
    <w:p w:rsidR="00F52AAD" w:rsidRDefault="00F52AAD" w:rsidP="00CE7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AD" w:rsidRDefault="00F52AAD" w:rsidP="00CE7B80">
      <w:pPr>
        <w:spacing w:after="0" w:line="240" w:lineRule="auto"/>
      </w:pPr>
      <w:r>
        <w:separator/>
      </w:r>
    </w:p>
  </w:footnote>
  <w:footnote w:type="continuationSeparator" w:id="0">
    <w:p w:rsidR="00F52AAD" w:rsidRDefault="00F52AAD" w:rsidP="00CE7B80">
      <w:pPr>
        <w:spacing w:after="0" w:line="240" w:lineRule="auto"/>
      </w:pPr>
      <w:r>
        <w:continuationSeparator/>
      </w:r>
    </w:p>
  </w:footnote>
  <w:footnote w:id="1">
    <w:p w:rsidR="00CE7B80" w:rsidRDefault="00CE7B80" w:rsidP="003E5824">
      <w:pPr>
        <w:pStyle w:val="Tekstprzypisudolnego"/>
        <w:jc w:val="both"/>
        <w:rPr>
          <w:rFonts w:ascii="Times New Roman" w:hAnsi="Times New Roman" w:cs="Times New Roman"/>
          <w:sz w:val="22"/>
          <w:szCs w:val="22"/>
        </w:rPr>
      </w:pPr>
      <w:r w:rsidRPr="00CE7B80">
        <w:rPr>
          <w:rStyle w:val="Odwoanieprzypisudolnego"/>
          <w:rFonts w:ascii="Times New Roman" w:hAnsi="Times New Roman" w:cs="Times New Roman"/>
        </w:rPr>
        <w:footnoteRef/>
      </w:r>
      <w:r w:rsidRPr="00CE7B80">
        <w:rPr>
          <w:rFonts w:ascii="Times New Roman" w:hAnsi="Times New Roman" w:cs="Times New Roman"/>
        </w:rPr>
        <w:t xml:space="preserve"> </w:t>
      </w:r>
      <w:r w:rsidRPr="003E5824">
        <w:rPr>
          <w:rFonts w:ascii="Times New Roman" w:hAnsi="Times New Roman" w:cs="Times New Roman"/>
          <w:sz w:val="22"/>
          <w:szCs w:val="22"/>
        </w:rPr>
        <w:t>„Zezwolenia, o których mowa w ust. 1, wydaje się oddzielnie na następujące rodzaje napojów alkoholowych: 1) do 4,5% zawartości alkoholu oraz na piwo; 2) powyżej 4,5% do 18% zawartości alkoholu (z wyjątkiem piwa); 3) powyżej 18% zawartości alkoholu”.</w:t>
      </w:r>
    </w:p>
    <w:p w:rsidR="003E5824" w:rsidRPr="003E5824" w:rsidRDefault="003E5824" w:rsidP="003E5824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  <w:footnote w:id="2">
    <w:p w:rsidR="003E5824" w:rsidRPr="003E5824" w:rsidRDefault="003E5824" w:rsidP="003E5824">
      <w:pPr>
        <w:spacing w:after="0"/>
        <w:jc w:val="both"/>
        <w:rPr>
          <w:rFonts w:ascii="Times New Roman" w:hAnsi="Times New Roman" w:cs="Times New Roman"/>
        </w:rPr>
      </w:pPr>
      <w:r w:rsidRPr="003E5824">
        <w:rPr>
          <w:rStyle w:val="Odwoanieprzypisudolnego"/>
          <w:rFonts w:ascii="Times New Roman" w:hAnsi="Times New Roman" w:cs="Times New Roman"/>
        </w:rPr>
        <w:footnoteRef/>
      </w:r>
      <w:r w:rsidRPr="003E5824">
        <w:rPr>
          <w:rFonts w:ascii="Times New Roman" w:hAnsi="Times New Roman" w:cs="Times New Roman"/>
        </w:rPr>
        <w:t xml:space="preserve"> Uchwały Rady Gminy Liszki w sprawie:</w:t>
      </w:r>
    </w:p>
    <w:p w:rsidR="003E5824" w:rsidRPr="003E5824" w:rsidRDefault="003E5824" w:rsidP="003E58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824">
        <w:rPr>
          <w:rFonts w:ascii="Times New Roman" w:hAnsi="Times New Roman" w:cs="Times New Roman"/>
        </w:rPr>
        <w:t>ustalenia maksymalnej liczby zezwoleń na sprzedaż napojów alkoholowych na terenie gminy Liszki Nr XLIX/539/2018 z dnia 17 września 2018 roku;</w:t>
      </w:r>
    </w:p>
    <w:p w:rsidR="003E5824" w:rsidRPr="003E5824" w:rsidRDefault="003E5824" w:rsidP="003E582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3E5824">
        <w:rPr>
          <w:rFonts w:ascii="Times New Roman" w:hAnsi="Times New Roman" w:cs="Times New Roman"/>
        </w:rPr>
        <w:t>ustalenia zasad usytuowania na terenie gminy Liszki miejsc sprzedaży i podawania napojów alkoholowych Nr XLIX/540/2018 z dnia 17 września 2018 roku.</w:t>
      </w:r>
    </w:p>
    <w:p w:rsidR="003E5824" w:rsidRPr="003E5824" w:rsidRDefault="003E5824" w:rsidP="003E5824">
      <w:pPr>
        <w:pStyle w:val="Tekstprzypisudolnego"/>
        <w:rPr>
          <w:rFonts w:ascii="Times New Roman" w:hAnsi="Times New Roman" w:cs="Times New Roman"/>
          <w:sz w:val="22"/>
          <w:szCs w:val="22"/>
        </w:rPr>
      </w:pPr>
    </w:p>
  </w:footnote>
  <w:footnote w:id="3">
    <w:p w:rsidR="003E5824" w:rsidRPr="003E5824" w:rsidRDefault="003E5824" w:rsidP="003E5824">
      <w:pPr>
        <w:pStyle w:val="Tekstprzypisudolnego"/>
        <w:jc w:val="both"/>
        <w:rPr>
          <w:sz w:val="22"/>
          <w:szCs w:val="22"/>
        </w:rPr>
      </w:pPr>
      <w:r w:rsidRPr="003E5824">
        <w:rPr>
          <w:rStyle w:val="Odwoanieprzypisudolnego"/>
          <w:sz w:val="22"/>
          <w:szCs w:val="22"/>
        </w:rPr>
        <w:footnoteRef/>
      </w:r>
      <w:r w:rsidRPr="003E5824">
        <w:rPr>
          <w:sz w:val="22"/>
          <w:szCs w:val="22"/>
        </w:rPr>
        <w:t xml:space="preserve"> </w:t>
      </w:r>
      <w:r w:rsidRPr="003E5824">
        <w:rPr>
          <w:rFonts w:ascii="Times New Roman" w:hAnsi="Times New Roman" w:cs="Times New Roman"/>
          <w:sz w:val="22"/>
          <w:szCs w:val="22"/>
        </w:rPr>
        <w:t xml:space="preserve">terminy zebrań stałych </w:t>
      </w:r>
      <w:r>
        <w:rPr>
          <w:rFonts w:ascii="Times New Roman" w:hAnsi="Times New Roman" w:cs="Times New Roman"/>
          <w:sz w:val="22"/>
          <w:szCs w:val="22"/>
        </w:rPr>
        <w:t>GKRPA są w każdym roku</w:t>
      </w:r>
      <w:r w:rsidRPr="003E5824">
        <w:rPr>
          <w:rFonts w:ascii="Times New Roman" w:hAnsi="Times New Roman" w:cs="Times New Roman"/>
          <w:sz w:val="22"/>
          <w:szCs w:val="22"/>
        </w:rPr>
        <w:t xml:space="preserve"> publikowane </w:t>
      </w:r>
      <w:r>
        <w:rPr>
          <w:rFonts w:ascii="Times New Roman" w:hAnsi="Times New Roman" w:cs="Times New Roman"/>
          <w:sz w:val="22"/>
          <w:szCs w:val="22"/>
        </w:rPr>
        <w:t>na stronie</w:t>
      </w:r>
      <w:r w:rsidRPr="003E5824">
        <w:rPr>
          <w:rFonts w:ascii="Times New Roman" w:hAnsi="Times New Roman" w:cs="Times New Roman"/>
          <w:sz w:val="22"/>
          <w:szCs w:val="22"/>
        </w:rPr>
        <w:t xml:space="preserve"> BIP GOPS Liszki – zakładka: przeciwdziałanie alkoholizmowi i narkomanii i na stronie Urzędu Gminy Liszki</w:t>
      </w:r>
      <w:r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37E"/>
    <w:multiLevelType w:val="hybridMultilevel"/>
    <w:tmpl w:val="FF96A15C"/>
    <w:lvl w:ilvl="0" w:tplc="0415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48"/>
    <w:rsid w:val="003E5824"/>
    <w:rsid w:val="004D117E"/>
    <w:rsid w:val="00690448"/>
    <w:rsid w:val="00813CFA"/>
    <w:rsid w:val="00872B1D"/>
    <w:rsid w:val="00CE7B80"/>
    <w:rsid w:val="00F5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B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5824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7B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7B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7B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5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582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E5824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AD8EA-4184-4759-A79E-3D1A85D9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M.Buczek</dc:creator>
  <cp:lastModifiedBy>Karolina Sroka</cp:lastModifiedBy>
  <cp:revision>2</cp:revision>
  <dcterms:created xsi:type="dcterms:W3CDTF">2020-05-08T07:25:00Z</dcterms:created>
  <dcterms:modified xsi:type="dcterms:W3CDTF">2020-05-08T07:25:00Z</dcterms:modified>
</cp:coreProperties>
</file>